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ind w:left="0" w:firstLine="0"/>
        <w:rPr/>
      </w:pPr>
      <w:r w:rsidDel="00000000" w:rsidR="00000000" w:rsidRPr="00000000">
        <w:rPr>
          <w:rtl w:val="0"/>
        </w:rPr>
      </w:r>
    </w:p>
    <w:p w:rsidR="00000000" w:rsidDel="00000000" w:rsidP="00000000" w:rsidRDefault="00000000" w:rsidRPr="00000000" w14:paraId="000000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bCs w:val="1"/>
          <w:sz w:val="30"/>
          <w:szCs w:val="30"/>
        </w:rPr>
      </w:pPr>
      <w:r w:rsidDel="00000000" w:rsidR="00000000" w:rsidRPr="00000000">
        <w:rPr>
          <w:b w:val="1"/>
          <w:bCs w:val="1"/>
          <w:sz w:val="30"/>
          <w:szCs w:val="30"/>
          <w:rtl w:val="0"/>
        </w:rPr>
        <w:t xml:space="preserve">APA Format SOurces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spacing w:after="240" w:before="240" w:lineRule="auto"/>
        <w:rPr>
          <w:color w:val="1155cc"/>
          <w:u w:val="single"/>
        </w:rPr>
      </w:pPr>
      <w:r w:rsidDel="00000000" w:rsidR="00000000" w:rsidRPr="00000000">
        <w:rPr>
          <w:rtl w:val="0"/>
        </w:rPr>
        <w:t xml:space="preserve">Centers for Disease Control and Prevention. (n.d.). </w:t>
      </w:r>
      <w:r w:rsidDel="00000000" w:rsidR="00000000" w:rsidRPr="00000000">
        <w:rPr>
          <w:i w:val="1"/>
          <w:iCs w:val="1"/>
          <w:rtl w:val="0"/>
        </w:rPr>
        <w:t xml:space="preserve">Disability and Health Data System (DHDS)</w:t>
      </w:r>
      <w:r w:rsidDel="00000000" w:rsidR="00000000" w:rsidRPr="00000000">
        <w:rPr>
          <w:rtl w:val="0"/>
        </w:rPr>
        <w:t xml:space="preserve">.</w:t>
      </w:r>
      <w:hyperlink r:id="rId6">
        <w:r w:rsidDel="00000000" w:rsidR="00000000" w:rsidRPr="00000000">
          <w:rPr>
            <w:rtl w:val="0"/>
          </w:rPr>
          <w:t xml:space="preserve"> </w:t>
        </w:r>
      </w:hyperlink>
      <w:hyperlink r:id="rId7">
        <w:r w:rsidDel="00000000" w:rsidR="00000000" w:rsidRPr="00000000">
          <w:rPr>
            <w:color w:val="1155cc"/>
            <w:u w:val="single"/>
            <w:rtl w:val="0"/>
          </w:rPr>
          <w:t xml:space="preserve">https://dhds.cdc.gov/</w:t>
        </w:r>
      </w:hyperlink>
      <w:r w:rsidDel="00000000" w:rsidR="00000000" w:rsidRPr="00000000">
        <w:rPr>
          <w:rtl w:val="0"/>
        </w:rPr>
      </w:r>
    </w:p>
    <w:p w:rsidR="00000000" w:rsidDel="00000000" w:rsidP="00000000" w:rsidRDefault="00000000" w:rsidRPr="00000000" w14:paraId="00000009">
      <w:pPr>
        <w:spacing w:after="240" w:before="240" w:lineRule="auto"/>
        <w:rPr>
          <w:color w:val="1155cc"/>
          <w:u w:val="single"/>
        </w:rPr>
      </w:pPr>
      <w:r w:rsidDel="00000000" w:rsidR="00000000" w:rsidRPr="00000000">
        <w:rPr>
          <w:rtl w:val="0"/>
        </w:rPr>
        <w:t xml:space="preserve">de França, I., Monteiro, L., Rodrigues, B., &amp; Melo, A. (2023). Communication disorders in the correctional system: A systematic review. </w:t>
      </w:r>
      <w:r w:rsidDel="00000000" w:rsidR="00000000" w:rsidRPr="00000000">
        <w:rPr>
          <w:i w:val="1"/>
          <w:iCs w:val="1"/>
          <w:rtl w:val="0"/>
        </w:rPr>
        <w:t xml:space="preserve">Revista Española de Sanidad Penitenciaria, 25</w:t>
      </w:r>
      <w:r w:rsidDel="00000000" w:rsidR="00000000" w:rsidRPr="00000000">
        <w:rPr>
          <w:rtl w:val="0"/>
        </w:rPr>
        <w:t xml:space="preserve">(2), 70–79.</w:t>
      </w:r>
      <w:hyperlink r:id="rId8">
        <w:r w:rsidDel="00000000" w:rsidR="00000000" w:rsidRPr="00000000">
          <w:rPr>
            <w:rtl w:val="0"/>
          </w:rPr>
          <w:t xml:space="preserve"> </w:t>
        </w:r>
      </w:hyperlink>
      <w:hyperlink r:id="rId9">
        <w:r w:rsidDel="00000000" w:rsidR="00000000" w:rsidRPr="00000000">
          <w:rPr>
            <w:color w:val="1155cc"/>
            <w:u w:val="single"/>
            <w:rtl w:val="0"/>
          </w:rPr>
          <w:t xml:space="preserve">https://doi.org/10.18176/resp.00070</w:t>
        </w:r>
      </w:hyperlink>
      <w:r w:rsidDel="00000000" w:rsidR="00000000" w:rsidRPr="00000000">
        <w:rPr>
          <w:rtl w:val="0"/>
        </w:rPr>
      </w:r>
    </w:p>
    <w:p w:rsidR="00000000" w:rsidDel="00000000" w:rsidP="00000000" w:rsidRDefault="00000000" w:rsidRPr="00000000" w14:paraId="0000000A">
      <w:pPr>
        <w:spacing w:after="240" w:before="240" w:lineRule="auto"/>
        <w:rPr>
          <w:color w:val="1155cc"/>
          <w:u w:val="single"/>
        </w:rPr>
      </w:pPr>
      <w:r w:rsidDel="00000000" w:rsidR="00000000" w:rsidRPr="00000000">
        <w:rPr>
          <w:rtl w:val="0"/>
        </w:rPr>
        <w:t xml:space="preserve">Pratte, M. M., Brodeur, M., Perron, M. E., &amp; Hudon, C. (2026). Access to healthcare services for the deaf: A scoping review of reviews. </w:t>
      </w:r>
      <w:r w:rsidDel="00000000" w:rsidR="00000000" w:rsidRPr="00000000">
        <w:rPr>
          <w:i w:val="1"/>
          <w:iCs w:val="1"/>
          <w:rtl w:val="0"/>
        </w:rPr>
        <w:t xml:space="preserve">Health Expectations, 29</w:t>
      </w:r>
      <w:r w:rsidDel="00000000" w:rsidR="00000000" w:rsidRPr="00000000">
        <w:rPr>
          <w:rtl w:val="0"/>
        </w:rPr>
        <w:t xml:space="preserve">, 1–22.</w:t>
      </w:r>
      <w:hyperlink r:id="rId10">
        <w:r w:rsidDel="00000000" w:rsidR="00000000" w:rsidRPr="00000000">
          <w:rPr>
            <w:rtl w:val="0"/>
          </w:rPr>
          <w:t xml:space="preserve"> </w:t>
        </w:r>
      </w:hyperlink>
      <w:hyperlink r:id="rId11">
        <w:r w:rsidDel="00000000" w:rsidR="00000000" w:rsidRPr="00000000">
          <w:rPr>
            <w:color w:val="1155cc"/>
            <w:u w:val="single"/>
            <w:rtl w:val="0"/>
          </w:rPr>
          <w:t xml:space="preserve">https://doi.org/10.1111/hex.70554</w:t>
        </w:r>
      </w:hyperlink>
      <w:r w:rsidDel="00000000" w:rsidR="00000000" w:rsidRPr="00000000">
        <w:rPr>
          <w:rtl w:val="0"/>
        </w:rPr>
      </w:r>
    </w:p>
    <w:p w:rsidR="00000000" w:rsidDel="00000000" w:rsidP="00000000" w:rsidRDefault="00000000" w:rsidRPr="00000000" w14:paraId="0000000B">
      <w:pPr>
        <w:spacing w:after="240" w:before="240" w:lineRule="auto"/>
        <w:rPr/>
      </w:pPr>
      <w:r w:rsidDel="00000000" w:rsidR="00000000" w:rsidRPr="00000000">
        <w:rPr>
          <w:rtl w:val="0"/>
        </w:rPr>
        <w:t xml:space="preserve">Kuenburg, A., Fellinger, P., &amp; Fellinger, J. (2016). Health care access among deaf people. </w:t>
      </w:r>
      <w:r w:rsidDel="00000000" w:rsidR="00000000" w:rsidRPr="00000000">
        <w:rPr>
          <w:i w:val="1"/>
          <w:iCs w:val="1"/>
          <w:rtl w:val="0"/>
        </w:rPr>
        <w:t xml:space="preserve">Journal of Deaf Studies and Deaf Education, 21</w:t>
      </w:r>
      <w:r w:rsidDel="00000000" w:rsidR="00000000" w:rsidRPr="00000000">
        <w:rPr>
          <w:rtl w:val="0"/>
        </w:rPr>
        <w:t xml:space="preserve">(1), 1–10. https://doi.org/10.1093/deafed/env042</w:t>
      </w:r>
    </w:p>
    <w:p w:rsidR="00000000" w:rsidDel="00000000" w:rsidP="00000000" w:rsidRDefault="00000000" w:rsidRPr="00000000" w14:paraId="0000000C">
      <w:pPr>
        <w:spacing w:after="240" w:before="240" w:lineRule="auto"/>
        <w:rPr>
          <w:color w:val="1155cc"/>
          <w:u w:val="single"/>
        </w:rPr>
      </w:pPr>
      <w:r w:rsidDel="00000000" w:rsidR="00000000" w:rsidRPr="00000000">
        <w:rPr>
          <w:rtl w:val="0"/>
        </w:rPr>
        <w:t xml:space="preserve">Americans with Disabilities Act. (1990). Title II regulations.</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https://www.ada.gov/law-and-regs/title-ii-2010-regulations/</w:t>
        </w:r>
      </w:hyperlink>
      <w:r w:rsidDel="00000000" w:rsidR="00000000" w:rsidRPr="00000000">
        <w:rPr>
          <w:rtl w:val="0"/>
        </w:rPr>
      </w:r>
    </w:p>
    <w:p w:rsidR="00000000" w:rsidDel="00000000" w:rsidP="00000000" w:rsidRDefault="00000000" w:rsidRPr="00000000" w14:paraId="0000000D">
      <w:pPr>
        <w:spacing w:after="240" w:before="240" w:lineRule="auto"/>
        <w:rPr>
          <w:color w:val="1155cc"/>
          <w:u w:val="single"/>
        </w:rPr>
      </w:pPr>
      <w:r w:rsidDel="00000000" w:rsidR="00000000" w:rsidRPr="00000000">
        <w:rPr>
          <w:rtl w:val="0"/>
        </w:rPr>
        <w:t xml:space="preserve">U.S. Department of Justice. (2025, August 28). </w:t>
      </w:r>
      <w:r w:rsidDel="00000000" w:rsidR="00000000" w:rsidRPr="00000000">
        <w:rPr>
          <w:i w:val="1"/>
          <w:iCs w:val="1"/>
          <w:rtl w:val="0"/>
        </w:rPr>
        <w:t xml:space="preserve">Settlement agreement with the North Carolina Department of Adult Correction</w:t>
      </w:r>
      <w:r w:rsidDel="00000000" w:rsidR="00000000" w:rsidRPr="00000000">
        <w:rPr>
          <w:rtl w:val="0"/>
        </w:rPr>
        <w:t xml:space="preserve">.</w:t>
      </w:r>
      <w:hyperlink r:id="rId14">
        <w:r w:rsidDel="00000000" w:rsidR="00000000" w:rsidRPr="00000000">
          <w:rPr>
            <w:rtl w:val="0"/>
          </w:rPr>
          <w:t xml:space="preserve"> </w:t>
        </w:r>
      </w:hyperlink>
      <w:hyperlink r:id="rId15">
        <w:r w:rsidDel="00000000" w:rsidR="00000000" w:rsidRPr="00000000">
          <w:rPr>
            <w:color w:val="1155cc"/>
            <w:u w:val="single"/>
            <w:rtl w:val="0"/>
          </w:rPr>
          <w:t xml:space="preserve">https://www.justice.gov/crt/media/1412321/dl</w:t>
        </w:r>
      </w:hyperlink>
      <w:r w:rsidDel="00000000" w:rsidR="00000000" w:rsidRPr="00000000">
        <w:rPr>
          <w:rtl w:val="0"/>
        </w:rPr>
      </w:r>
    </w:p>
    <w:p w:rsidR="00000000" w:rsidDel="00000000" w:rsidP="00000000" w:rsidRDefault="00000000" w:rsidRPr="00000000" w14:paraId="0000000E">
      <w:pPr>
        <w:spacing w:after="240" w:before="240" w:lineRule="auto"/>
        <w:rPr>
          <w:color w:val="1155cc"/>
          <w:u w:val="single"/>
        </w:rPr>
      </w:pPr>
      <w:r w:rsidDel="00000000" w:rsidR="00000000" w:rsidRPr="00000000">
        <w:rPr>
          <w:rtl w:val="0"/>
        </w:rPr>
        <w:t xml:space="preserve">U.S. Department of Justice, Civil Rights Division. (2025). </w:t>
      </w:r>
      <w:r w:rsidDel="00000000" w:rsidR="00000000" w:rsidRPr="00000000">
        <w:rPr>
          <w:i w:val="1"/>
          <w:iCs w:val="1"/>
          <w:rtl w:val="0"/>
        </w:rPr>
        <w:t xml:space="preserve">Disability rights cases</w:t>
      </w:r>
      <w:r w:rsidDel="00000000" w:rsidR="00000000" w:rsidRPr="00000000">
        <w:rPr>
          <w:rtl w:val="0"/>
        </w:rPr>
        <w:t xml:space="preserve">.</w:t>
      </w:r>
      <w:hyperlink r:id="rId16">
        <w:r w:rsidDel="00000000" w:rsidR="00000000" w:rsidRPr="00000000">
          <w:rPr>
            <w:rtl w:val="0"/>
          </w:rPr>
          <w:t xml:space="preserve"> </w:t>
        </w:r>
      </w:hyperlink>
      <w:hyperlink r:id="rId17">
        <w:r w:rsidDel="00000000" w:rsidR="00000000" w:rsidRPr="00000000">
          <w:rPr>
            <w:color w:val="1155cc"/>
            <w:u w:val="single"/>
            <w:rtl w:val="0"/>
          </w:rPr>
          <w:t xml:space="preserve">https://www.justice.gov/crt/disability-rights-cases</w:t>
        </w:r>
      </w:hyperlink>
      <w:r w:rsidDel="00000000" w:rsidR="00000000" w:rsidRPr="00000000">
        <w:rPr>
          <w:rtl w:val="0"/>
        </w:rPr>
      </w:r>
    </w:p>
    <w:p w:rsidR="00000000" w:rsidDel="00000000" w:rsidP="00000000" w:rsidRDefault="00000000" w:rsidRPr="00000000" w14:paraId="0000000F">
      <w:pPr>
        <w:spacing w:after="240" w:before="240" w:lineRule="auto"/>
        <w:rPr>
          <w:color w:val="1155cc"/>
          <w:u w:val="single"/>
        </w:rPr>
      </w:pPr>
      <w:r w:rsidDel="00000000" w:rsidR="00000000" w:rsidRPr="00000000">
        <w:rPr>
          <w:rtl w:val="0"/>
        </w:rPr>
        <w:t xml:space="preserve">Hearing, Education, Advocacy &amp; Rights for the Deaf. (n.d.). </w:t>
      </w:r>
      <w:r w:rsidDel="00000000" w:rsidR="00000000" w:rsidRPr="00000000">
        <w:rPr>
          <w:i w:val="1"/>
          <w:iCs w:val="1"/>
          <w:rtl w:val="0"/>
        </w:rPr>
        <w:t xml:space="preserve">Advocacy and resources for the Deaf community</w:t>
      </w:r>
      <w:r w:rsidDel="00000000" w:rsidR="00000000" w:rsidRPr="00000000">
        <w:rPr>
          <w:rtl w:val="0"/>
        </w:rPr>
        <w:t xml:space="preserve">.</w:t>
      </w:r>
      <w:hyperlink r:id="rId18">
        <w:r w:rsidDel="00000000" w:rsidR="00000000" w:rsidRPr="00000000">
          <w:rPr>
            <w:rtl w:val="0"/>
          </w:rPr>
          <w:t xml:space="preserve"> </w:t>
        </w:r>
      </w:hyperlink>
      <w:hyperlink r:id="rId19">
        <w:r w:rsidDel="00000000" w:rsidR="00000000" w:rsidRPr="00000000">
          <w:rPr>
            <w:color w:val="1155cc"/>
            <w:u w:val="single"/>
            <w:rtl w:val="0"/>
          </w:rPr>
          <w:t xml:space="preserve">https://behearddc.org/</w:t>
        </w:r>
      </w:hyperlink>
      <w:r w:rsidDel="00000000" w:rsidR="00000000" w:rsidRPr="00000000">
        <w:rPr>
          <w:rtl w:val="0"/>
        </w:rPr>
      </w:r>
    </w:p>
    <w:p w:rsidR="00000000" w:rsidDel="00000000" w:rsidP="00000000" w:rsidRDefault="00000000" w:rsidRPr="00000000" w14:paraId="00000010">
      <w:pPr>
        <w:spacing w:after="240" w:before="240" w:lineRule="auto"/>
        <w:rPr>
          <w:color w:val="1155cc"/>
          <w:u w:val="single"/>
        </w:rPr>
      </w:pPr>
      <w:r w:rsidDel="00000000" w:rsidR="00000000" w:rsidRPr="00000000">
        <w:rPr>
          <w:rtl w:val="0"/>
        </w:rPr>
        <w:t xml:space="preserve">U.S. Department of Justice. (2000). </w:t>
      </w:r>
      <w:r w:rsidDel="00000000" w:rsidR="00000000" w:rsidRPr="00000000">
        <w:rPr>
          <w:i w:val="1"/>
          <w:iCs w:val="1"/>
          <w:rtl w:val="0"/>
        </w:rPr>
        <w:t xml:space="preserve">Region Seven tenth anniversary publication</w:t>
      </w:r>
      <w:r w:rsidDel="00000000" w:rsidR="00000000" w:rsidRPr="00000000">
        <w:rPr>
          <w:rtl w:val="0"/>
        </w:rPr>
        <w:t xml:space="preserve">.</w:t>
      </w:r>
      <w:hyperlink r:id="rId20">
        <w:r w:rsidDel="00000000" w:rsidR="00000000" w:rsidRPr="00000000">
          <w:rPr>
            <w:rtl w:val="0"/>
          </w:rPr>
          <w:t xml:space="preserve"> </w:t>
        </w:r>
      </w:hyperlink>
      <w:hyperlink r:id="rId21">
        <w:r w:rsidDel="00000000" w:rsidR="00000000" w:rsidRPr="00000000">
          <w:rPr>
            <w:color w:val="1155cc"/>
            <w:u w:val="single"/>
            <w:rtl w:val="0"/>
          </w:rPr>
          <w:t xml:space="preserve">https://archive.ada.gov/archive/pubs/reg7rpt.htm</w:t>
        </w:r>
      </w:hyperlink>
      <w:r w:rsidDel="00000000" w:rsidR="00000000" w:rsidRPr="00000000">
        <w:rPr>
          <w:rtl w:val="0"/>
        </w:rPr>
      </w:r>
    </w:p>
    <w:p w:rsidR="00000000" w:rsidDel="00000000" w:rsidP="00000000" w:rsidRDefault="00000000" w:rsidRPr="00000000" w14:paraId="00000011">
      <w:pPr>
        <w:spacing w:after="240" w:before="240" w:lineRule="auto"/>
        <w:rPr>
          <w:color w:val="1155cc"/>
          <w:u w:val="single"/>
        </w:rPr>
      </w:pPr>
      <w:r w:rsidDel="00000000" w:rsidR="00000000" w:rsidRPr="00000000">
        <w:rPr>
          <w:rtl w:val="0"/>
        </w:rPr>
        <w:t xml:space="preserve">U.S. Department of Justice. (n.d.). </w:t>
      </w:r>
      <w:r w:rsidDel="00000000" w:rsidR="00000000" w:rsidRPr="00000000">
        <w:rPr>
          <w:i w:val="1"/>
          <w:iCs w:val="1"/>
          <w:rtl w:val="0"/>
        </w:rPr>
        <w:t xml:space="preserve">Crocker v. Lewiston Police Department</w:t>
      </w:r>
      <w:r w:rsidDel="00000000" w:rsidR="00000000" w:rsidRPr="00000000">
        <w:rPr>
          <w:rtl w:val="0"/>
        </w:rPr>
        <w:t xml:space="preserve"> [Brief].</w:t>
      </w:r>
      <w:hyperlink r:id="rId22">
        <w:r w:rsidDel="00000000" w:rsidR="00000000" w:rsidRPr="00000000">
          <w:rPr>
            <w:rtl w:val="0"/>
          </w:rPr>
          <w:t xml:space="preserve"> </w:t>
        </w:r>
      </w:hyperlink>
      <w:hyperlink r:id="rId23">
        <w:r w:rsidDel="00000000" w:rsidR="00000000" w:rsidRPr="00000000">
          <w:rPr>
            <w:color w:val="1155cc"/>
            <w:u w:val="single"/>
            <w:rtl w:val="0"/>
          </w:rPr>
          <w:t xml:space="preserve">https://archive.ada.gov/briefs/crockr2br.doc</w:t>
        </w:r>
      </w:hyperlink>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bCs w:val="1"/>
          <w:sz w:val="30"/>
          <w:szCs w:val="30"/>
        </w:rPr>
      </w:pPr>
      <w:r w:rsidDel="00000000" w:rsidR="00000000" w:rsidRPr="00000000">
        <w:rPr>
          <w:rtl w:val="0"/>
        </w:rPr>
      </w:r>
    </w:p>
    <w:p w:rsidR="00000000" w:rsidDel="00000000" w:rsidP="00000000" w:rsidRDefault="00000000" w:rsidRPr="00000000" w14:paraId="00000015">
      <w:pPr>
        <w:rPr>
          <w:b w:val="1"/>
          <w:bCs w:val="1"/>
          <w:sz w:val="30"/>
          <w:szCs w:val="30"/>
        </w:rPr>
      </w:pPr>
      <w:r w:rsidDel="00000000" w:rsidR="00000000" w:rsidRPr="00000000">
        <w:rPr>
          <w:rtl w:val="0"/>
        </w:rPr>
      </w:r>
    </w:p>
    <w:p w:rsidR="00000000" w:rsidDel="00000000" w:rsidP="00000000" w:rsidRDefault="00000000" w:rsidRPr="00000000" w14:paraId="00000016">
      <w:pPr>
        <w:spacing w:after="240" w:before="240" w:lineRule="auto"/>
        <w:rPr>
          <w:b w:val="1"/>
          <w:bCs w:val="1"/>
          <w:sz w:val="30"/>
          <w:szCs w:val="30"/>
        </w:rPr>
      </w:pPr>
      <w:r w:rsidDel="00000000" w:rsidR="00000000" w:rsidRPr="00000000">
        <w:rPr>
          <w:b w:val="1"/>
          <w:bCs w:val="1"/>
          <w:sz w:val="30"/>
          <w:szCs w:val="30"/>
          <w:rtl w:val="0"/>
        </w:rPr>
        <w:t xml:space="preserve">DATA SUMMARY FOR ANALYSIS</w:t>
      </w:r>
    </w:p>
    <w:p w:rsidR="00000000" w:rsidDel="00000000" w:rsidP="00000000" w:rsidRDefault="00000000" w:rsidRPr="00000000" w14:paraId="00000017">
      <w:pPr>
        <w:spacing w:after="240" w:before="240" w:lineRule="auto"/>
        <w:rPr>
          <w:b w:val="1"/>
          <w:bCs w:val="1"/>
          <w:sz w:val="30"/>
          <w:szCs w:val="30"/>
        </w:rPr>
      </w:pPr>
      <w:r w:rsidDel="00000000" w:rsidR="00000000" w:rsidRPr="00000000">
        <w:rPr>
          <w:b w:val="1"/>
          <w:bCs w:val="1"/>
          <w:sz w:val="30"/>
          <w:szCs w:val="30"/>
          <w:rtl w:val="0"/>
        </w:rPr>
        <w:t xml:space="preserve">NCDAC needs survey/assessment. </w:t>
      </w:r>
    </w:p>
    <w:p w:rsidR="00000000" w:rsidDel="00000000" w:rsidP="00000000" w:rsidRDefault="00000000" w:rsidRPr="00000000" w14:paraId="00000018">
      <w:pPr>
        <w:spacing w:after="240" w:before="240" w:lineRule="auto"/>
        <w:rPr>
          <w:sz w:val="30"/>
          <w:szCs w:val="30"/>
        </w:rPr>
      </w:pPr>
      <w:r w:rsidDel="00000000" w:rsidR="00000000" w:rsidRPr="00000000">
        <w:rPr>
          <w:sz w:val="30"/>
          <w:szCs w:val="30"/>
          <w:rtl w:val="0"/>
        </w:rPr>
        <w:t xml:space="preserve">Sample Size:</w:t>
        <w:br w:type="textWrapping"/>
        <w:t xml:space="preserve">N = 10 Deaf incarcerated individuals</w:t>
      </w:r>
    </w:p>
    <w:p w:rsidR="00000000" w:rsidDel="00000000" w:rsidP="00000000" w:rsidRDefault="00000000" w:rsidRPr="00000000" w14:paraId="00000019">
      <w:pPr>
        <w:spacing w:after="240" w:before="240" w:lineRule="auto"/>
        <w:rPr>
          <w:sz w:val="30"/>
          <w:szCs w:val="30"/>
        </w:rPr>
      </w:pPr>
      <w:r w:rsidDel="00000000" w:rsidR="00000000" w:rsidRPr="00000000">
        <w:rPr>
          <w:sz w:val="30"/>
          <w:szCs w:val="30"/>
          <w:rtl w:val="0"/>
        </w:rPr>
        <w:t xml:space="preserve">Primary Outcome:</w:t>
        <w:br w:type="textWrapping"/>
        <w:t xml:space="preserve">Number who received ADA accommodations: 2</w:t>
        <w:br w:type="textWrapping"/>
        <w:t xml:space="preserve">Number who did NOT receive ADA accommodations: 8</w:t>
      </w:r>
    </w:p>
    <w:p w:rsidR="00000000" w:rsidDel="00000000" w:rsidP="00000000" w:rsidRDefault="00000000" w:rsidRPr="00000000" w14:paraId="0000001A">
      <w:pPr>
        <w:spacing w:after="240" w:before="240" w:lineRule="auto"/>
        <w:rPr>
          <w:sz w:val="30"/>
          <w:szCs w:val="30"/>
        </w:rPr>
      </w:pPr>
      <w:r w:rsidDel="00000000" w:rsidR="00000000" w:rsidRPr="00000000">
        <w:rPr>
          <w:sz w:val="30"/>
          <w:szCs w:val="30"/>
          <w:rtl w:val="0"/>
        </w:rPr>
        <w:t xml:space="preserve">Percentage:</w:t>
        <w:br w:type="textWrapping"/>
        <w:t xml:space="preserve">Received accommodations: 20%</w:t>
        <w:br w:type="textWrapping"/>
        <w:t xml:space="preserve">Did not receive accommodations: 80%</w:t>
      </w:r>
    </w:p>
    <w:p w:rsidR="00000000" w:rsidDel="00000000" w:rsidP="00000000" w:rsidRDefault="00000000" w:rsidRPr="00000000" w14:paraId="0000001B">
      <w:pPr>
        <w:spacing w:after="240" w:before="240" w:lineRule="auto"/>
        <w:rPr>
          <w:sz w:val="30"/>
          <w:szCs w:val="30"/>
        </w:rPr>
      </w:pPr>
      <w:r w:rsidDel="00000000" w:rsidR="00000000" w:rsidRPr="00000000">
        <w:rPr>
          <w:sz w:val="30"/>
          <w:szCs w:val="30"/>
          <w:rtl w:val="0"/>
        </w:rPr>
        <w:t xml:space="preserve">Qualitative Themes Identified from Interviews and Observations:</w:t>
      </w:r>
    </w:p>
    <w:p w:rsidR="00000000" w:rsidDel="00000000" w:rsidP="00000000" w:rsidRDefault="00000000" w:rsidRPr="00000000" w14:paraId="0000001C">
      <w:pPr>
        <w:numPr>
          <w:ilvl w:val="0"/>
          <w:numId w:val="1"/>
        </w:numPr>
        <w:spacing w:after="0" w:afterAutospacing="0" w:before="240" w:lineRule="auto"/>
        <w:ind w:left="720" w:hanging="360"/>
        <w:rPr>
          <w:sz w:val="30"/>
          <w:szCs w:val="30"/>
        </w:rPr>
      </w:pPr>
      <w:r w:rsidDel="00000000" w:rsidR="00000000" w:rsidRPr="00000000">
        <w:rPr>
          <w:sz w:val="30"/>
          <w:szCs w:val="30"/>
          <w:rtl w:val="0"/>
        </w:rPr>
        <w:t xml:space="preserve">Lack of interpreters during medical visits</w:t>
      </w:r>
    </w:p>
    <w:p w:rsidR="00000000" w:rsidDel="00000000" w:rsidP="00000000" w:rsidRDefault="00000000" w:rsidRPr="00000000" w14:paraId="0000001D">
      <w:pPr>
        <w:numPr>
          <w:ilvl w:val="0"/>
          <w:numId w:val="1"/>
        </w:numPr>
        <w:spacing w:after="0" w:afterAutospacing="0" w:before="0" w:beforeAutospacing="0" w:lineRule="auto"/>
        <w:ind w:left="720" w:hanging="360"/>
        <w:rPr>
          <w:sz w:val="30"/>
          <w:szCs w:val="30"/>
        </w:rPr>
      </w:pPr>
      <w:r w:rsidDel="00000000" w:rsidR="00000000" w:rsidRPr="00000000">
        <w:rPr>
          <w:sz w:val="30"/>
          <w:szCs w:val="30"/>
          <w:rtl w:val="0"/>
        </w:rPr>
        <w:t xml:space="preserve">Staff dismissing accommodation requests</w:t>
      </w:r>
    </w:p>
    <w:p w:rsidR="00000000" w:rsidDel="00000000" w:rsidP="00000000" w:rsidRDefault="00000000" w:rsidRPr="00000000" w14:paraId="0000001E">
      <w:pPr>
        <w:numPr>
          <w:ilvl w:val="0"/>
          <w:numId w:val="1"/>
        </w:numPr>
        <w:spacing w:after="0" w:afterAutospacing="0" w:before="0" w:beforeAutospacing="0" w:lineRule="auto"/>
        <w:ind w:left="720" w:hanging="360"/>
        <w:rPr>
          <w:sz w:val="30"/>
          <w:szCs w:val="30"/>
        </w:rPr>
      </w:pPr>
      <w:r w:rsidDel="00000000" w:rsidR="00000000" w:rsidRPr="00000000">
        <w:rPr>
          <w:sz w:val="30"/>
          <w:szCs w:val="30"/>
          <w:rtl w:val="0"/>
        </w:rPr>
        <w:t xml:space="preserve">Inadequate communication during healthcare rounds</w:t>
      </w:r>
    </w:p>
    <w:p w:rsidR="00000000" w:rsidDel="00000000" w:rsidP="00000000" w:rsidRDefault="00000000" w:rsidRPr="00000000" w14:paraId="0000001F">
      <w:pPr>
        <w:numPr>
          <w:ilvl w:val="0"/>
          <w:numId w:val="1"/>
        </w:numPr>
        <w:spacing w:after="240" w:before="0" w:beforeAutospacing="0" w:lineRule="auto"/>
        <w:ind w:left="720" w:hanging="360"/>
        <w:rPr>
          <w:sz w:val="30"/>
          <w:szCs w:val="30"/>
        </w:rPr>
      </w:pPr>
      <w:r w:rsidDel="00000000" w:rsidR="00000000" w:rsidRPr="00000000">
        <w:rPr>
          <w:sz w:val="30"/>
          <w:szCs w:val="30"/>
          <w:rtl w:val="0"/>
        </w:rPr>
        <w:t xml:space="preserve">Exclusion from group programming due to lack of accessibility</w:t>
      </w:r>
    </w:p>
    <w:p w:rsidR="00000000" w:rsidDel="00000000" w:rsidP="00000000" w:rsidRDefault="00000000" w:rsidRPr="00000000" w14:paraId="00000020">
      <w:pPr>
        <w:rPr>
          <w:sz w:val="30"/>
          <w:szCs w:val="30"/>
        </w:rPr>
      </w:pPr>
      <w:r w:rsidDel="00000000" w:rsidR="00000000" w:rsidRPr="00000000">
        <w:rPr>
          <w:rtl w:val="0"/>
        </w:rPr>
      </w:r>
    </w:p>
    <w:tbl>
      <w:tblPr>
        <w:tblStyle w:val="Table1"/>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85"/>
        <w:gridCol w:w="2340"/>
        <w:gridCol w:w="2955"/>
        <w:tblGridChange w:id="0">
          <w:tblGrid>
            <w:gridCol w:w="3585"/>
            <w:gridCol w:w="2340"/>
            <w:gridCol w:w="295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jc w:val="center"/>
              <w:rPr>
                <w:sz w:val="30"/>
                <w:szCs w:val="30"/>
              </w:rPr>
            </w:pPr>
            <w:r w:rsidDel="00000000" w:rsidR="00000000" w:rsidRPr="00000000">
              <w:rPr>
                <w:b w:val="1"/>
                <w:bCs w:val="1"/>
                <w:sz w:val="30"/>
                <w:szCs w:val="30"/>
                <w:rtl w:val="0"/>
              </w:rPr>
              <w:t xml:space="preserve">Category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2">
            <w:pPr>
              <w:jc w:val="center"/>
              <w:rPr>
                <w:sz w:val="30"/>
                <w:szCs w:val="30"/>
              </w:rPr>
            </w:pPr>
            <w:r w:rsidDel="00000000" w:rsidR="00000000" w:rsidRPr="00000000">
              <w:rPr>
                <w:b w:val="1"/>
                <w:bCs w:val="1"/>
                <w:sz w:val="30"/>
                <w:szCs w:val="30"/>
                <w:rtl w:val="0"/>
              </w:rPr>
              <w:t xml:space="preserve">Frequency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3">
            <w:pPr>
              <w:jc w:val="center"/>
              <w:rPr>
                <w:sz w:val="30"/>
                <w:szCs w:val="30"/>
              </w:rPr>
            </w:pPr>
            <w:r w:rsidDel="00000000" w:rsidR="00000000" w:rsidRPr="00000000">
              <w:rPr>
                <w:b w:val="1"/>
                <w:bCs w:val="1"/>
                <w:sz w:val="30"/>
                <w:szCs w:val="30"/>
                <w:rtl w:val="0"/>
              </w:rPr>
              <w:t xml:space="preserve">Percentage</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4">
            <w:pPr>
              <w:rPr>
                <w:sz w:val="30"/>
                <w:szCs w:val="30"/>
              </w:rPr>
            </w:pPr>
            <w:r w:rsidDel="00000000" w:rsidR="00000000" w:rsidRPr="00000000">
              <w:rPr>
                <w:sz w:val="30"/>
                <w:szCs w:val="30"/>
                <w:rtl w:val="0"/>
              </w:rPr>
              <w:t xml:space="preserve">Received Accommodations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5">
            <w:pPr>
              <w:rPr>
                <w:sz w:val="30"/>
                <w:szCs w:val="30"/>
              </w:rPr>
            </w:pPr>
            <w:r w:rsidDel="00000000" w:rsidR="00000000" w:rsidRPr="00000000">
              <w:rPr>
                <w:sz w:val="30"/>
                <w:szCs w:val="30"/>
                <w:rtl w:val="0"/>
              </w:rPr>
              <w:t xml:space="preserve">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6">
            <w:pPr>
              <w:rPr>
                <w:sz w:val="30"/>
                <w:szCs w:val="30"/>
              </w:rPr>
            </w:pPr>
            <w:r w:rsidDel="00000000" w:rsidR="00000000" w:rsidRPr="00000000">
              <w:rPr>
                <w:sz w:val="30"/>
                <w:szCs w:val="30"/>
                <w:rtl w:val="0"/>
              </w:rPr>
              <w:t xml:space="preserve">20%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7">
            <w:pPr>
              <w:rPr>
                <w:sz w:val="30"/>
                <w:szCs w:val="30"/>
              </w:rPr>
            </w:pPr>
            <w:r w:rsidDel="00000000" w:rsidR="00000000" w:rsidRPr="00000000">
              <w:rPr>
                <w:sz w:val="30"/>
                <w:szCs w:val="30"/>
                <w:rtl w:val="0"/>
              </w:rPr>
              <w:t xml:space="preserve">Did Not Receive Accommodations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8">
            <w:pPr>
              <w:rPr>
                <w:sz w:val="30"/>
                <w:szCs w:val="30"/>
              </w:rPr>
            </w:pPr>
            <w:r w:rsidDel="00000000" w:rsidR="00000000" w:rsidRPr="00000000">
              <w:rPr>
                <w:sz w:val="30"/>
                <w:szCs w:val="30"/>
                <w:rtl w:val="0"/>
              </w:rPr>
              <w:t xml:space="preserve">8</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9">
            <w:pPr>
              <w:rPr>
                <w:sz w:val="30"/>
                <w:szCs w:val="30"/>
              </w:rPr>
            </w:pPr>
            <w:r w:rsidDel="00000000" w:rsidR="00000000" w:rsidRPr="00000000">
              <w:rPr>
                <w:sz w:val="30"/>
                <w:szCs w:val="30"/>
                <w:rtl w:val="0"/>
              </w:rPr>
              <w:t xml:space="preserve">80%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A">
            <w:pPr>
              <w:rPr>
                <w:sz w:val="30"/>
                <w:szCs w:val="30"/>
              </w:rPr>
            </w:pPr>
            <w:r w:rsidDel="00000000" w:rsidR="00000000" w:rsidRPr="00000000">
              <w:rPr>
                <w:b w:val="1"/>
                <w:bCs w:val="1"/>
                <w:sz w:val="30"/>
                <w:szCs w:val="30"/>
                <w:rtl w:val="0"/>
              </w:rPr>
              <w:t xml:space="preserve">Total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B">
            <w:pPr>
              <w:rPr>
                <w:sz w:val="30"/>
                <w:szCs w:val="30"/>
              </w:rPr>
            </w:pPr>
            <w:r w:rsidDel="00000000" w:rsidR="00000000" w:rsidRPr="00000000">
              <w:rPr>
                <w:sz w:val="30"/>
                <w:szCs w:val="30"/>
                <w:rtl w:val="0"/>
              </w:rPr>
              <w:t xml:space="preserve">10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C">
            <w:pPr>
              <w:rPr>
                <w:sz w:val="30"/>
                <w:szCs w:val="30"/>
              </w:rPr>
            </w:pPr>
            <w:r w:rsidDel="00000000" w:rsidR="00000000" w:rsidRPr="00000000">
              <w:rPr>
                <w:sz w:val="30"/>
                <w:szCs w:val="30"/>
                <w:rtl w:val="0"/>
              </w:rPr>
              <w:t xml:space="preserve">100%</w:t>
            </w:r>
          </w:p>
        </w:tc>
      </w:tr>
    </w:tbl>
    <w:p w:rsidR="00000000" w:rsidDel="00000000" w:rsidP="00000000" w:rsidRDefault="00000000" w:rsidRPr="00000000" w14:paraId="0000002D">
      <w:pPr>
        <w:rPr>
          <w:sz w:val="30"/>
          <w:szCs w:val="30"/>
        </w:rPr>
      </w:pPr>
      <w:r w:rsidDel="00000000" w:rsidR="00000000" w:rsidRPr="00000000">
        <w:rPr>
          <w:rtl w:val="0"/>
        </w:rPr>
      </w:r>
    </w:p>
    <w:p w:rsidR="00000000" w:rsidDel="00000000" w:rsidP="00000000" w:rsidRDefault="00000000" w:rsidRPr="00000000" w14:paraId="0000002E">
      <w:pPr>
        <w:rPr>
          <w:sz w:val="30"/>
          <w:szCs w:val="30"/>
        </w:rPr>
      </w:pPr>
      <w:r w:rsidDel="00000000" w:rsidR="00000000" w:rsidRPr="00000000">
        <w:rPr>
          <w:rtl w:val="0"/>
        </w:rPr>
      </w:r>
    </w:p>
    <w:p w:rsidR="00000000" w:rsidDel="00000000" w:rsidP="00000000" w:rsidRDefault="00000000" w:rsidRPr="00000000" w14:paraId="0000002F">
      <w:pPr>
        <w:rPr>
          <w:sz w:val="30"/>
          <w:szCs w:val="30"/>
        </w:rPr>
      </w:pPr>
      <w:r w:rsidDel="00000000" w:rsidR="00000000" w:rsidRPr="00000000">
        <w:rPr>
          <w:sz w:val="30"/>
          <w:szCs w:val="30"/>
          <w:rtl w:val="0"/>
        </w:rPr>
        <w:t xml:space="preserve">Raw Data:</w:t>
      </w:r>
    </w:p>
    <w:p w:rsidR="00000000" w:rsidDel="00000000" w:rsidP="00000000" w:rsidRDefault="00000000" w:rsidRPr="00000000" w14:paraId="00000030">
      <w:pPr>
        <w:rPr>
          <w:sz w:val="30"/>
          <w:szCs w:val="30"/>
        </w:rPr>
      </w:pPr>
      <w:r w:rsidDel="00000000" w:rsidR="00000000" w:rsidRPr="00000000">
        <w:rPr>
          <w:rtl w:val="0"/>
        </w:rPr>
      </w:r>
    </w:p>
    <w:p w:rsidR="00000000" w:rsidDel="00000000" w:rsidP="00000000" w:rsidRDefault="00000000" w:rsidRPr="00000000" w14:paraId="00000031">
      <w:pPr>
        <w:rPr>
          <w:sz w:val="30"/>
          <w:szCs w:val="30"/>
        </w:rPr>
      </w:pPr>
      <w:r w:rsidDel="00000000" w:rsidR="00000000" w:rsidRPr="00000000">
        <w:rPr>
          <w:rtl w:val="0"/>
        </w:rPr>
      </w:r>
    </w:p>
    <w:tbl>
      <w:tblPr>
        <w:tblStyle w:val="Table2"/>
        <w:tblW w:w="60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50"/>
        <w:gridCol w:w="3240"/>
        <w:tblGridChange w:id="0">
          <w:tblGrid>
            <w:gridCol w:w="2850"/>
            <w:gridCol w:w="324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2">
            <w:pPr>
              <w:jc w:val="center"/>
              <w:rPr>
                <w:sz w:val="30"/>
                <w:szCs w:val="30"/>
              </w:rPr>
            </w:pPr>
            <w:r w:rsidDel="00000000" w:rsidR="00000000" w:rsidRPr="00000000">
              <w:rPr>
                <w:b w:val="1"/>
                <w:bCs w:val="1"/>
                <w:sz w:val="30"/>
                <w:szCs w:val="30"/>
                <w:rtl w:val="0"/>
              </w:rPr>
              <w:t xml:space="preserve">Participant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3">
            <w:pPr>
              <w:jc w:val="center"/>
              <w:rPr>
                <w:sz w:val="30"/>
                <w:szCs w:val="30"/>
              </w:rPr>
            </w:pPr>
            <w:r w:rsidDel="00000000" w:rsidR="00000000" w:rsidRPr="00000000">
              <w:rPr>
                <w:b w:val="1"/>
                <w:bCs w:val="1"/>
                <w:sz w:val="30"/>
                <w:szCs w:val="30"/>
                <w:rtl w:val="0"/>
              </w:rPr>
              <w:t xml:space="preserve">Accommodation Received</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4">
            <w:pPr>
              <w:rPr>
                <w:sz w:val="30"/>
                <w:szCs w:val="30"/>
              </w:rPr>
            </w:pPr>
            <w:r w:rsidDel="00000000" w:rsidR="00000000" w:rsidRPr="00000000">
              <w:rPr>
                <w:sz w:val="30"/>
                <w:szCs w:val="30"/>
                <w:rtl w:val="0"/>
              </w:rPr>
              <w:t xml:space="preserve">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5">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6">
            <w:pPr>
              <w:rPr>
                <w:sz w:val="30"/>
                <w:szCs w:val="30"/>
              </w:rPr>
            </w:pPr>
            <w:r w:rsidDel="00000000" w:rsidR="00000000" w:rsidRPr="00000000">
              <w:rPr>
                <w:sz w:val="30"/>
                <w:szCs w:val="30"/>
                <w:rtl w:val="0"/>
              </w:rPr>
              <w:t xml:space="preserve">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7">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8">
            <w:pPr>
              <w:rPr>
                <w:sz w:val="30"/>
                <w:szCs w:val="30"/>
              </w:rPr>
            </w:pPr>
            <w:r w:rsidDel="00000000" w:rsidR="00000000" w:rsidRPr="00000000">
              <w:rPr>
                <w:sz w:val="30"/>
                <w:szCs w:val="30"/>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9">
            <w:pPr>
              <w:rPr>
                <w:sz w:val="30"/>
                <w:szCs w:val="30"/>
              </w:rPr>
            </w:pPr>
            <w:r w:rsidDel="00000000" w:rsidR="00000000" w:rsidRPr="00000000">
              <w:rPr>
                <w:sz w:val="30"/>
                <w:szCs w:val="30"/>
                <w:rtl w:val="0"/>
              </w:rPr>
              <w:t xml:space="preserve">Yes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A">
            <w:pPr>
              <w:rPr>
                <w:sz w:val="30"/>
                <w:szCs w:val="30"/>
              </w:rPr>
            </w:pPr>
            <w:r w:rsidDel="00000000" w:rsidR="00000000" w:rsidRPr="00000000">
              <w:rPr>
                <w:sz w:val="30"/>
                <w:szCs w:val="30"/>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B">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C">
            <w:pPr>
              <w:rPr>
                <w:sz w:val="30"/>
                <w:szCs w:val="30"/>
              </w:rPr>
            </w:pPr>
            <w:r w:rsidDel="00000000" w:rsidR="00000000" w:rsidRPr="00000000">
              <w:rPr>
                <w:sz w:val="30"/>
                <w:szCs w:val="30"/>
                <w:rtl w:val="0"/>
              </w:rPr>
              <w:t xml:space="preserve">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D">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E">
            <w:pPr>
              <w:rPr>
                <w:sz w:val="30"/>
                <w:szCs w:val="30"/>
              </w:rPr>
            </w:pPr>
            <w:r w:rsidDel="00000000" w:rsidR="00000000" w:rsidRPr="00000000">
              <w:rPr>
                <w:sz w:val="30"/>
                <w:szCs w:val="30"/>
                <w:rtl w:val="0"/>
              </w:rPr>
              <w:t xml:space="preserve">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F">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0">
            <w:pPr>
              <w:rPr>
                <w:sz w:val="30"/>
                <w:szCs w:val="30"/>
              </w:rPr>
            </w:pPr>
            <w:r w:rsidDel="00000000" w:rsidR="00000000" w:rsidRPr="00000000">
              <w:rPr>
                <w:sz w:val="30"/>
                <w:szCs w:val="30"/>
                <w:rtl w:val="0"/>
              </w:rPr>
              <w:t xml:space="preserve">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1">
            <w:pPr>
              <w:rPr>
                <w:sz w:val="30"/>
                <w:szCs w:val="30"/>
              </w:rPr>
            </w:pPr>
            <w:r w:rsidDel="00000000" w:rsidR="00000000" w:rsidRPr="00000000">
              <w:rPr>
                <w:sz w:val="30"/>
                <w:szCs w:val="30"/>
                <w:rtl w:val="0"/>
              </w:rPr>
              <w:t xml:space="preserve">Yes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2">
            <w:pPr>
              <w:rPr>
                <w:sz w:val="30"/>
                <w:szCs w:val="30"/>
              </w:rPr>
            </w:pPr>
            <w:r w:rsidDel="00000000" w:rsidR="00000000" w:rsidRPr="00000000">
              <w:rPr>
                <w:sz w:val="30"/>
                <w:szCs w:val="30"/>
                <w:rtl w:val="0"/>
              </w:rPr>
              <w:t xml:space="preserve">8</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3">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4">
            <w:pPr>
              <w:rPr>
                <w:sz w:val="30"/>
                <w:szCs w:val="30"/>
              </w:rPr>
            </w:pPr>
            <w:r w:rsidDel="00000000" w:rsidR="00000000" w:rsidRPr="00000000">
              <w:rPr>
                <w:sz w:val="30"/>
                <w:szCs w:val="30"/>
                <w:rtl w:val="0"/>
              </w:rPr>
              <w:t xml:space="preserve">9</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5">
            <w:pPr>
              <w:rPr>
                <w:sz w:val="30"/>
                <w:szCs w:val="30"/>
              </w:rPr>
            </w:pPr>
            <w:r w:rsidDel="00000000" w:rsidR="00000000" w:rsidRPr="00000000">
              <w:rPr>
                <w:sz w:val="30"/>
                <w:szCs w:val="30"/>
                <w:rtl w:val="0"/>
              </w:rPr>
              <w:t xml:space="preserve">No</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6">
            <w:pPr>
              <w:rPr>
                <w:sz w:val="30"/>
                <w:szCs w:val="30"/>
              </w:rPr>
            </w:pPr>
            <w:r w:rsidDel="00000000" w:rsidR="00000000" w:rsidRPr="00000000">
              <w:rPr>
                <w:sz w:val="30"/>
                <w:szCs w:val="30"/>
                <w:rtl w:val="0"/>
              </w:rPr>
              <w:t xml:space="preserve">10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7">
            <w:pPr>
              <w:rPr>
                <w:sz w:val="30"/>
                <w:szCs w:val="30"/>
              </w:rPr>
            </w:pPr>
            <w:r w:rsidDel="00000000" w:rsidR="00000000" w:rsidRPr="00000000">
              <w:rPr>
                <w:sz w:val="30"/>
                <w:szCs w:val="30"/>
                <w:rtl w:val="0"/>
              </w:rPr>
              <w:t xml:space="preserve">No</w:t>
            </w:r>
          </w:p>
        </w:tc>
      </w:tr>
    </w:tbl>
    <w:p w:rsidR="00000000" w:rsidDel="00000000" w:rsidP="00000000" w:rsidRDefault="00000000" w:rsidRPr="00000000" w14:paraId="00000048">
      <w:pPr>
        <w:rPr>
          <w:sz w:val="30"/>
          <w:szCs w:val="30"/>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b w:val="1"/>
          <w:bCs w:val="1"/>
          <w:sz w:val="30"/>
          <w:szCs w:val="30"/>
        </w:rPr>
      </w:pPr>
      <w:r w:rsidDel="00000000" w:rsidR="00000000" w:rsidRPr="00000000">
        <w:rPr>
          <w:b w:val="1"/>
          <w:bCs w:val="1"/>
          <w:sz w:val="30"/>
          <w:szCs w:val="30"/>
          <w:rtl w:val="0"/>
        </w:rPr>
        <w:t xml:space="preserve">Example Literature review section (this is CHAT GPT, please do not use this exactly)</w:t>
      </w:r>
    </w:p>
    <w:p w:rsidR="00000000" w:rsidDel="00000000" w:rsidP="00000000" w:rsidRDefault="00000000" w:rsidRPr="00000000" w14:paraId="0000004C">
      <w:pPr>
        <w:rPr>
          <w:b w:val="1"/>
          <w:bCs w:val="1"/>
        </w:rPr>
      </w:pPr>
      <w:r w:rsidDel="00000000" w:rsidR="00000000" w:rsidRPr="00000000">
        <w:rPr>
          <w:rtl w:val="0"/>
        </w:rPr>
      </w:r>
    </w:p>
    <w:p w:rsidR="00000000" w:rsidDel="00000000" w:rsidP="00000000" w:rsidRDefault="00000000" w:rsidRPr="00000000" w14:paraId="0000004D">
      <w:pPr>
        <w:spacing w:after="240" w:before="240" w:lineRule="auto"/>
        <w:rPr/>
      </w:pPr>
      <w:r w:rsidDel="00000000" w:rsidR="00000000" w:rsidRPr="00000000">
        <w:rPr>
          <w:rtl w:val="0"/>
        </w:rPr>
        <w:t xml:space="preserve">Individuals who are Deaf or Hard of Hearing experience persistent disparities in healthcare access that are largely driven by communication barriers, systemic inequities, and limited access to linguistically appropriate services. Research consistently demonstrates that Deaf individuals encounter healthcare environments that are not designed to accommodate their primary mode of communication, often resulting in misunderstandings, reduced quality of care, and poorer health outcomes. Foundational work by Kuenburg et al. (2016) highlights that Deaf individuals experience lower access to healthcare services and higher rates of unmet medical needs compared to the general population. These disparities are not isolated incidents, but rather reflect broader systemic issues within healthcare delivery.</w:t>
      </w:r>
    </w:p>
    <w:p w:rsidR="00000000" w:rsidDel="00000000" w:rsidP="00000000" w:rsidRDefault="00000000" w:rsidRPr="00000000" w14:paraId="0000004E">
      <w:pPr>
        <w:spacing w:after="240" w:before="240" w:lineRule="auto"/>
        <w:rPr/>
      </w:pPr>
      <w:r w:rsidDel="00000000" w:rsidR="00000000" w:rsidRPr="00000000">
        <w:rPr>
          <w:rtl w:val="0"/>
        </w:rPr>
        <w:t xml:space="preserve">More recent literature continues to reinforce these findings. A systematic review by de França et al. (2023) found that communication disorders are frequently overlooked in institutional settings, including correctional environments, where individuals rely heavily on system-level supports to access care. The review emphasizes that lack of effective communication can significantly impact diagnosis, treatment, and continuity of care. Similarly, Pratte et al. (2026) identified persistent barriers to healthcare access for Deaf individuals, including difficulty navigating healthcare systems, lack of qualified interpreters, and inadequate provider training. Although this study was conducted in Canada, the findings reflect patterns that are consistent across healthcare systems internationally, suggesting that these barriers are systemic rather than location-specific.</w:t>
      </w:r>
    </w:p>
    <w:p w:rsidR="00000000" w:rsidDel="00000000" w:rsidP="00000000" w:rsidRDefault="00000000" w:rsidRPr="00000000" w14:paraId="0000004F">
      <w:pPr>
        <w:spacing w:after="240" w:before="240" w:lineRule="auto"/>
        <w:rPr/>
      </w:pPr>
      <w:r w:rsidDel="00000000" w:rsidR="00000000" w:rsidRPr="00000000">
        <w:rPr>
          <w:rtl w:val="0"/>
        </w:rPr>
        <w:t xml:space="preserve">Communication is central to healthcare equity, particularly for Deaf individuals who rely on American Sign Language or other visual forms of communication. When healthcare systems fail to provide appropriate accommodations, such as qualified interpreters, patients are often excluded from meaningful participation in their care. This exclusion can result in misunderstanding of diagnoses, improper treatment, and decreased patient autonomy. These issues are further compounded in correctional settings, where individuals have limited control over their environment and must depend on institutional processes to access services.</w:t>
      </w:r>
    </w:p>
    <w:p w:rsidR="00000000" w:rsidDel="00000000" w:rsidP="00000000" w:rsidRDefault="00000000" w:rsidRPr="00000000" w14:paraId="00000050">
      <w:pPr>
        <w:spacing w:after="240" w:before="240" w:lineRule="auto"/>
        <w:rPr/>
      </w:pPr>
      <w:r w:rsidDel="00000000" w:rsidR="00000000" w:rsidRPr="00000000">
        <w:rPr>
          <w:rtl w:val="0"/>
        </w:rPr>
        <w:t xml:space="preserve">The Americans with Disabilities Act establishes that individuals with disabilities are entitled to equal access to services, programs, and activities in public institutions, including correctional facilities. Under Title II, institutions are required to ensure effective communication through the provision of auxiliary aids and services, such as qualified interpreters. Despite these legal protections, compliance within correctional settings has been inconsistent. Structural barriers, lack of staff training, and inadequate enforcement mechanisms contribute to ongoing accessibility challenges for Deaf incarcerated individuals.</w:t>
      </w:r>
    </w:p>
    <w:p w:rsidR="00000000" w:rsidDel="00000000" w:rsidP="00000000" w:rsidRDefault="00000000" w:rsidRPr="00000000" w14:paraId="00000051">
      <w:pPr>
        <w:spacing w:after="240" w:before="240" w:lineRule="auto"/>
        <w:rPr/>
      </w:pPr>
      <w:r w:rsidDel="00000000" w:rsidR="00000000" w:rsidRPr="00000000">
        <w:rPr>
          <w:rtl w:val="0"/>
        </w:rPr>
        <w:t xml:space="preserve">Recent findings from the U.S. Department of Justice provide strong evidence of these systemic failures. In its 2025 settlement agreement with the North Carolina Department of Adult Correction, the Department of Justice identified significant deficiencies in communication access for Deaf incarcerated individuals, including failure to provide interpreters, inadequate accommodation processes, and barriers to participation in programs and services. These findings demonstrate that noncompliance with federal disability law is not an isolated issue, but rather reflects broader institutional patterns within correctional systems.</w:t>
      </w:r>
    </w:p>
    <w:p w:rsidR="00000000" w:rsidDel="00000000" w:rsidP="00000000" w:rsidRDefault="00000000" w:rsidRPr="00000000" w14:paraId="00000052">
      <w:pPr>
        <w:spacing w:after="240" w:before="240" w:lineRule="auto"/>
        <w:rPr/>
      </w:pPr>
      <w:r w:rsidDel="00000000" w:rsidR="00000000" w:rsidRPr="00000000">
        <w:rPr>
          <w:rtl w:val="0"/>
        </w:rPr>
        <w:t xml:space="preserve">Population-level data further supports the importance of examining disability access within institutional settings. Data from the Centers for Disease Control and Prevention indicates that individuals with disabilities represent a significant portion of the population and experience higher rates of health disparities compared to those without disabilities (Centers for Disease Control and Prevention, n.d.). When these individuals are placed in restrictive environments such as correctional facilities, existing disparities may be intensified due to limited autonomy and reliance on institutional systems for care.</w:t>
      </w:r>
    </w:p>
    <w:p w:rsidR="00000000" w:rsidDel="00000000" w:rsidP="00000000" w:rsidRDefault="00000000" w:rsidRPr="00000000" w14:paraId="00000053">
      <w:pPr>
        <w:spacing w:after="240" w:before="240" w:lineRule="auto"/>
        <w:rPr/>
      </w:pPr>
      <w:r w:rsidDel="00000000" w:rsidR="00000000" w:rsidRPr="00000000">
        <w:rPr>
          <w:rtl w:val="0"/>
        </w:rPr>
        <w:t xml:space="preserve">In addition to academic and governmental sources, advocacy organizations provide important insight into the lived experiences of Deaf individuals. Organizations such as the Hearing, Education, Advocacy &amp; Rights for the Deaf emphasize the importance of accessibility, language justice, and equitable treatment for Deaf and disabled individuals, including those who are incarcerated. These perspectives highlight that communication barriers are not merely logistical challenges, but represent broader issues of equity, inclusion, and human rights.</w:t>
      </w:r>
    </w:p>
    <w:p w:rsidR="00000000" w:rsidDel="00000000" w:rsidP="00000000" w:rsidRDefault="00000000" w:rsidRPr="00000000" w14:paraId="00000054">
      <w:pPr>
        <w:spacing w:after="240" w:before="240" w:lineRule="auto"/>
        <w:rPr/>
      </w:pPr>
      <w:r w:rsidDel="00000000" w:rsidR="00000000" w:rsidRPr="00000000">
        <w:rPr>
          <w:rtl w:val="0"/>
        </w:rPr>
        <w:t xml:space="preserve">Despite the growing body of research on Deaf healthcare access and disability rights, there remains a significant gap in the literature specifically examining the experiences of Deaf and Hard of Hearing individuals within correctional settings. Much of the existing research focuses on community or clinical environments, leaving carceral systems underexplored. Additionally, few studies integrate both quantitative and qualitative approaches to capture the full scope of these experiences. This evaluation seeks to address this gap by examining the extent to which Deaf and Hard of Hearing incarcerated individuals receive appropriate accommodations, particularly in healthcare and institutional programming. By integrating empirical data, field observations, and policy analysis, this study aims to contribute to a more comprehensive understanding of inequitable access within correctional settings and inform future social work practice and policy reform.</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archive.ada.gov/archive/pubs/reg7rpt.htm?utm_source=chatgpt.com" TargetMode="External"/><Relationship Id="rId11" Type="http://schemas.openxmlformats.org/officeDocument/2006/relationships/hyperlink" Target="https://doi.org/10.1111/hex.70554" TargetMode="External"/><Relationship Id="rId22" Type="http://schemas.openxmlformats.org/officeDocument/2006/relationships/hyperlink" Target="https://archive.ada.gov/briefs/crockr2br.doc?utm_source=chatgpt.com" TargetMode="External"/><Relationship Id="rId10" Type="http://schemas.openxmlformats.org/officeDocument/2006/relationships/hyperlink" Target="https://doi.org/10.1111/hex.70554" TargetMode="External"/><Relationship Id="rId21" Type="http://schemas.openxmlformats.org/officeDocument/2006/relationships/hyperlink" Target="https://archive.ada.gov/archive/pubs/reg7rpt.htm?utm_source=chatgpt.com" TargetMode="External"/><Relationship Id="rId13" Type="http://schemas.openxmlformats.org/officeDocument/2006/relationships/hyperlink" Target="https://www.ada.gov/law-and-regs/title-ii-2010-regulations/" TargetMode="External"/><Relationship Id="rId12" Type="http://schemas.openxmlformats.org/officeDocument/2006/relationships/hyperlink" Target="https://www.ada.gov/law-and-regs/title-ii-2010-regulations/" TargetMode="External"/><Relationship Id="rId23" Type="http://schemas.openxmlformats.org/officeDocument/2006/relationships/hyperlink" Target="https://archive.ada.gov/briefs/crockr2br.doc?utm_source=chatgpt.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8176/resp.00070" TargetMode="External"/><Relationship Id="rId15" Type="http://schemas.openxmlformats.org/officeDocument/2006/relationships/hyperlink" Target="https://www.justice.gov/crt/media/1412321/dl?utm_source=chatgpt.com" TargetMode="External"/><Relationship Id="rId14" Type="http://schemas.openxmlformats.org/officeDocument/2006/relationships/hyperlink" Target="https://www.justice.gov/crt/media/1412321/dl?utm_source=chatgpt.com" TargetMode="External"/><Relationship Id="rId17" Type="http://schemas.openxmlformats.org/officeDocument/2006/relationships/hyperlink" Target="https://www.justice.gov/crt/disability-rights-cases?utm_source=chatgpt.com" TargetMode="External"/><Relationship Id="rId16" Type="http://schemas.openxmlformats.org/officeDocument/2006/relationships/hyperlink" Target="https://www.justice.gov/crt/disability-rights-cases?utm_source=chatgpt.com" TargetMode="External"/><Relationship Id="rId5" Type="http://schemas.openxmlformats.org/officeDocument/2006/relationships/styles" Target="styles.xml"/><Relationship Id="rId19" Type="http://schemas.openxmlformats.org/officeDocument/2006/relationships/hyperlink" Target="https://behearddc.org/?utm_source=chatgpt.com" TargetMode="External"/><Relationship Id="rId6" Type="http://schemas.openxmlformats.org/officeDocument/2006/relationships/hyperlink" Target="https://dhds.cdc.gov/" TargetMode="External"/><Relationship Id="rId18" Type="http://schemas.openxmlformats.org/officeDocument/2006/relationships/hyperlink" Target="https://behearddc.org/?utm_source=chatgpt.com" TargetMode="External"/><Relationship Id="rId7" Type="http://schemas.openxmlformats.org/officeDocument/2006/relationships/hyperlink" Target="https://dhds.cdc.gov/" TargetMode="External"/><Relationship Id="rId8" Type="http://schemas.openxmlformats.org/officeDocument/2006/relationships/hyperlink" Target="https://doi.org/10.18176/resp.000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